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60" w:rsidRDefault="00531060" w:rsidP="00531060">
      <w:bookmarkStart w:id="0" w:name="_GoBack"/>
      <w:bookmarkEnd w:id="0"/>
      <w:r>
        <w:t>Dear Sir/Madam,</w:t>
      </w:r>
    </w:p>
    <w:p w:rsidR="00531060" w:rsidRDefault="00531060" w:rsidP="00531060"/>
    <w:p w:rsidR="00531060" w:rsidRPr="00E37220" w:rsidRDefault="00531060" w:rsidP="004A2158">
      <w:pPr>
        <w:jc w:val="both"/>
      </w:pPr>
      <w:r>
        <w:t>Your e</w:t>
      </w:r>
      <w:r w:rsidRPr="00E37220">
        <w:t xml:space="preserve">mail dated 16 August 2021 to the Department of Health has been referred to the Food and Health Bureau.  </w:t>
      </w:r>
      <w:r w:rsidR="00F17721" w:rsidRPr="00E37220">
        <w:t xml:space="preserve">This Bureau has conducted a review to the handling of your request for information made on 2 July 2021, to which a reply was issued on 30 July 2021.  </w:t>
      </w:r>
      <w:r w:rsidRPr="00E37220">
        <w:t xml:space="preserve">Please find our </w:t>
      </w:r>
      <w:r w:rsidR="00F17721" w:rsidRPr="00E37220">
        <w:t>response in the ensuing paragraphs.</w:t>
      </w:r>
    </w:p>
    <w:p w:rsidR="00531060" w:rsidRPr="00E37220" w:rsidRDefault="00531060" w:rsidP="00F0357C">
      <w:pPr>
        <w:jc w:val="both"/>
      </w:pPr>
    </w:p>
    <w:p w:rsidR="00F0357C" w:rsidRPr="00E37220" w:rsidRDefault="00F0357C" w:rsidP="00F0357C">
      <w:pPr>
        <w:jc w:val="both"/>
      </w:pPr>
      <w:r w:rsidRPr="00E37220">
        <w:rPr>
          <w:rFonts w:hint="eastAsia"/>
        </w:rPr>
        <w:t>A</w:t>
      </w:r>
      <w:r w:rsidRPr="00E37220">
        <w:t xml:space="preserve">s set out in our </w:t>
      </w:r>
      <w:r w:rsidR="00531060" w:rsidRPr="00E37220">
        <w:t xml:space="preserve">previous </w:t>
      </w:r>
      <w:r w:rsidR="00541C72" w:rsidRPr="00E37220">
        <w:t>reply</w:t>
      </w:r>
      <w:r w:rsidRPr="00E37220">
        <w:t xml:space="preserve">, in formulating the mandatory mask-wearing requirement, we have taken into account the experts' </w:t>
      </w:r>
      <w:r w:rsidR="00531060" w:rsidRPr="00E37220">
        <w:t xml:space="preserve">and </w:t>
      </w:r>
      <w:r w:rsidR="00541C72" w:rsidRPr="00E37220">
        <w:t xml:space="preserve">the </w:t>
      </w:r>
      <w:r w:rsidRPr="00E37220">
        <w:t>World Health Organization (WHO)'s advice in respect of wearing of mask</w:t>
      </w:r>
      <w:r w:rsidR="00531060" w:rsidRPr="00E37220">
        <w:t xml:space="preserve"> as one of the critical anti-epidemic measures</w:t>
      </w:r>
      <w:r w:rsidRPr="00E37220">
        <w:t>, including the WHO's guidance titled "Mask Use in the Context of COVID-19" published on 5 June 2020 and subsequently updated on 1 December 2020 (available at</w:t>
      </w:r>
      <w:r w:rsidR="004A2158" w:rsidRPr="00E37220">
        <w:t xml:space="preserve"> </w:t>
      </w:r>
      <w:hyperlink r:id="rId6" w:history="1">
        <w:r w:rsidRPr="00E37220">
          <w:rPr>
            <w:rStyle w:val="a7"/>
            <w:color w:val="auto"/>
          </w:rPr>
          <w:t>https://www.who.int/publications/i/item/advice-on-the-use-of-masks-in-the-community-during-home-care-and-in-healthcare-settings-in-the-context-of-the-novel-coronavirus-(2019-ncov)-outbreak)</w:t>
        </w:r>
      </w:hyperlink>
      <w:r w:rsidRPr="00E37220">
        <w:t xml:space="preserve"> (the WHO’s guid</w:t>
      </w:r>
      <w:r w:rsidR="00541C72" w:rsidRPr="00E37220">
        <w:t>ance</w:t>
      </w:r>
      <w:r w:rsidRPr="00E37220">
        <w:t>).  In particular, the WHO’s guid</w:t>
      </w:r>
      <w:r w:rsidR="00541C72" w:rsidRPr="00E37220">
        <w:t>ance</w:t>
      </w:r>
      <w:r w:rsidRPr="00E37220">
        <w:t xml:space="preserve"> is based on, inter alia, ongoing evaluations of all available scientific evidence relevant to the use of masks for reducing the spread of SARS-CoV-2 (the virus that causes COVID-19) by the WHO ad hoc COVI-19 Infection Prevention and Control Guidance Deve</w:t>
      </w:r>
      <w:r w:rsidR="00541C72" w:rsidRPr="00E37220">
        <w:t>lopment Group</w:t>
      </w:r>
      <w:r w:rsidRPr="00E37220">
        <w:t xml:space="preserve">. </w:t>
      </w:r>
    </w:p>
    <w:p w:rsidR="00F0357C" w:rsidRPr="00E37220" w:rsidRDefault="00F0357C" w:rsidP="00F0357C">
      <w:pPr>
        <w:jc w:val="both"/>
      </w:pPr>
    </w:p>
    <w:p w:rsidR="00F0357C" w:rsidRPr="00E37220" w:rsidRDefault="004350F4" w:rsidP="00F0357C">
      <w:pPr>
        <w:jc w:val="both"/>
      </w:pPr>
      <w:r w:rsidRPr="00E37220">
        <w:t>In sum, t</w:t>
      </w:r>
      <w:r w:rsidR="00F0357C" w:rsidRPr="00E37220">
        <w:t xml:space="preserve">he WHO advises the use of masks as part of a comprehensive package of prevention and control measures to limit the spread of COVID-19, along with other infection prevention and control measures include hand hygiene, physical distancing of at least 1 metre, testing, contact tracing, quarantine and isolation etc.  </w:t>
      </w:r>
    </w:p>
    <w:p w:rsidR="004350F4" w:rsidRPr="00E37220" w:rsidRDefault="004350F4" w:rsidP="00F0357C">
      <w:pPr>
        <w:jc w:val="both"/>
      </w:pPr>
    </w:p>
    <w:p w:rsidR="004350F4" w:rsidRPr="00E37220" w:rsidRDefault="004350F4" w:rsidP="004350F4">
      <w:pPr>
        <w:jc w:val="both"/>
      </w:pPr>
      <w:r w:rsidRPr="00E37220">
        <w:t>Knowledge about transmission of the SARS-CoV-2 virus is</w:t>
      </w:r>
      <w:r w:rsidRPr="00E37220">
        <w:rPr>
          <w:rFonts w:hint="eastAsia"/>
        </w:rPr>
        <w:t xml:space="preserve"> </w:t>
      </w:r>
      <w:r w:rsidRPr="00E37220">
        <w:t xml:space="preserve">evolving continuously as new evidence accumulates.  </w:t>
      </w:r>
      <w:r w:rsidRPr="00E37220">
        <w:rPr>
          <w:rFonts w:hint="eastAsia"/>
        </w:rPr>
        <w:t>According to the WHO</w:t>
      </w:r>
      <w:r w:rsidRPr="00E37220">
        <w:t>’s guid</w:t>
      </w:r>
      <w:r w:rsidR="00541C72" w:rsidRPr="00E37220">
        <w:t>ance</w:t>
      </w:r>
      <w:r w:rsidRPr="00E37220">
        <w:t>, the virus can spread from an infected person’s mouth or nose in small</w:t>
      </w:r>
      <w:r w:rsidRPr="00E37220">
        <w:rPr>
          <w:rFonts w:hint="eastAsia"/>
        </w:rPr>
        <w:t xml:space="preserve"> </w:t>
      </w:r>
      <w:r w:rsidRPr="00E37220">
        <w:t>liquid particles when the person coughs, sneezes, sings,</w:t>
      </w:r>
      <w:r w:rsidRPr="00E37220">
        <w:rPr>
          <w:rFonts w:hint="eastAsia"/>
        </w:rPr>
        <w:t xml:space="preserve"> </w:t>
      </w:r>
      <w:r w:rsidRPr="00E37220">
        <w:t>breathes heavily or talks.  Fomite</w:t>
      </w:r>
      <w:r w:rsidRPr="00E37220">
        <w:rPr>
          <w:rFonts w:hint="eastAsia"/>
        </w:rPr>
        <w:t xml:space="preserve"> </w:t>
      </w:r>
      <w:r w:rsidRPr="00E37220">
        <w:t>transmission is considered a possible mode of transmission</w:t>
      </w:r>
      <w:r w:rsidRPr="00E37220">
        <w:rPr>
          <w:rFonts w:hint="eastAsia"/>
        </w:rPr>
        <w:t xml:space="preserve"> </w:t>
      </w:r>
      <w:r w:rsidRPr="00E37220">
        <w:t>for SARS-CoV-2, given consistent finding of environmental</w:t>
      </w:r>
      <w:r w:rsidRPr="00E37220">
        <w:rPr>
          <w:rFonts w:hint="eastAsia"/>
        </w:rPr>
        <w:t xml:space="preserve"> </w:t>
      </w:r>
      <w:r w:rsidRPr="00E37220">
        <w:t>contamination in the vicinity of people infected with SARSCoV-2 and the fact that other coronaviruses and respiratory</w:t>
      </w:r>
      <w:r w:rsidRPr="00E37220">
        <w:rPr>
          <w:rFonts w:hint="eastAsia"/>
        </w:rPr>
        <w:t xml:space="preserve"> </w:t>
      </w:r>
      <w:r w:rsidRPr="00E37220">
        <w:t xml:space="preserve">viruses can be transmitted this way. Also, aerosol transmission can occur in specific situations in which procedures that generate aerosols are performed. </w:t>
      </w:r>
    </w:p>
    <w:p w:rsidR="004350F4" w:rsidRPr="00E37220" w:rsidRDefault="004350F4" w:rsidP="004350F4">
      <w:pPr>
        <w:jc w:val="both"/>
      </w:pPr>
    </w:p>
    <w:p w:rsidR="004350F4" w:rsidRPr="00E37220" w:rsidRDefault="006D3C66" w:rsidP="004350F4">
      <w:pPr>
        <w:jc w:val="both"/>
      </w:pPr>
      <w:r w:rsidRPr="00E37220">
        <w:t xml:space="preserve">In health care settings, there are </w:t>
      </w:r>
      <w:r w:rsidR="004350F4" w:rsidRPr="00E37220">
        <w:t>scientific evidence</w:t>
      </w:r>
      <w:r w:rsidRPr="00E37220">
        <w:t>s</w:t>
      </w:r>
      <w:r w:rsidR="004350F4" w:rsidRPr="00E37220">
        <w:t xml:space="preserve"> </w:t>
      </w:r>
      <w:r w:rsidRPr="00E37220">
        <w:t xml:space="preserve">supporting </w:t>
      </w:r>
      <w:r w:rsidR="004350F4" w:rsidRPr="00E37220">
        <w:t>the use of mask</w:t>
      </w:r>
      <w:r w:rsidRPr="00E37220">
        <w:t xml:space="preserve"> for preventing the spread of the virus.  A</w:t>
      </w:r>
      <w:r w:rsidR="004350F4" w:rsidRPr="00E37220">
        <w:t xml:space="preserve"> systematic review of observational studies on the</w:t>
      </w:r>
      <w:r w:rsidR="004350F4" w:rsidRPr="00E37220">
        <w:rPr>
          <w:rFonts w:hint="eastAsia"/>
        </w:rPr>
        <w:t xml:space="preserve"> </w:t>
      </w:r>
      <w:r w:rsidR="004350F4" w:rsidRPr="00E37220">
        <w:t>betacoronaviruses that cause severe acute respiratory</w:t>
      </w:r>
      <w:r w:rsidR="004350F4" w:rsidRPr="00E37220">
        <w:rPr>
          <w:rFonts w:hint="eastAsia"/>
        </w:rPr>
        <w:t xml:space="preserve"> </w:t>
      </w:r>
      <w:r w:rsidR="004350F4" w:rsidRPr="00E37220">
        <w:t xml:space="preserve">syndrome (SARS), Middle </w:t>
      </w:r>
      <w:r w:rsidR="004350F4" w:rsidRPr="00E37220">
        <w:lastRenderedPageBreak/>
        <w:t>East respiratory syndrome</w:t>
      </w:r>
      <w:r w:rsidR="004350F4" w:rsidRPr="00E37220">
        <w:rPr>
          <w:rFonts w:hint="eastAsia"/>
        </w:rPr>
        <w:t xml:space="preserve"> </w:t>
      </w:r>
      <w:r w:rsidR="004350F4" w:rsidRPr="00E37220">
        <w:t>(MERS) and COVID-19 found that the use of face protection</w:t>
      </w:r>
      <w:r w:rsidR="004350F4" w:rsidRPr="00E37220">
        <w:rPr>
          <w:rFonts w:hint="eastAsia"/>
        </w:rPr>
        <w:t xml:space="preserve"> </w:t>
      </w:r>
      <w:r w:rsidR="004350F4" w:rsidRPr="00E37220">
        <w:t>(including respirators and medical masks) is associated with</w:t>
      </w:r>
      <w:r w:rsidR="004350F4" w:rsidRPr="00E37220">
        <w:rPr>
          <w:rFonts w:hint="eastAsia"/>
        </w:rPr>
        <w:t xml:space="preserve"> </w:t>
      </w:r>
      <w:r w:rsidR="004350F4" w:rsidRPr="00E37220">
        <w:t xml:space="preserve">reduced risk of infection among health workers.  Also, two studies found that implementation of a universal masking policy in hospital systems was associated with decreased risk of healthcare-acquired SARS-CoV-2 infection. </w:t>
      </w:r>
    </w:p>
    <w:p w:rsidR="00531060" w:rsidRPr="00E37220" w:rsidRDefault="00531060" w:rsidP="004350F4">
      <w:pPr>
        <w:jc w:val="both"/>
      </w:pPr>
    </w:p>
    <w:p w:rsidR="004350F4" w:rsidRPr="00E37220" w:rsidRDefault="006D3C66" w:rsidP="008F5262">
      <w:pPr>
        <w:jc w:val="both"/>
      </w:pPr>
      <w:r w:rsidRPr="00E37220">
        <w:rPr>
          <w:rFonts w:hint="eastAsia"/>
        </w:rPr>
        <w:t>I</w:t>
      </w:r>
      <w:r w:rsidRPr="00E37220">
        <w:t>n community settings, while</w:t>
      </w:r>
      <w:r w:rsidR="008F5262" w:rsidRPr="00E37220">
        <w:t xml:space="preserve"> </w:t>
      </w:r>
      <w:r w:rsidRPr="00E37220">
        <w:t xml:space="preserve">there </w:t>
      </w:r>
      <w:r w:rsidR="008F5262" w:rsidRPr="00E37220">
        <w:t xml:space="preserve">is </w:t>
      </w:r>
      <w:r w:rsidR="008363D6" w:rsidRPr="00E37220">
        <w:t xml:space="preserve">currently </w:t>
      </w:r>
      <w:r w:rsidR="008F5262" w:rsidRPr="00E37220">
        <w:t xml:space="preserve">no </w:t>
      </w:r>
      <w:r w:rsidRPr="00E37220">
        <w:t xml:space="preserve">conclusive scientific evidence on the </w:t>
      </w:r>
      <w:r w:rsidR="00531060" w:rsidRPr="00E37220">
        <w:t xml:space="preserve">use of mask for preventing the spread of the virus, some studies show that </w:t>
      </w:r>
      <w:r w:rsidR="008F5262" w:rsidRPr="00E37220">
        <w:t>wearing of mask is</w:t>
      </w:r>
      <w:r w:rsidR="008363D6" w:rsidRPr="00E37220">
        <w:t xml:space="preserve"> associated with lower risk</w:t>
      </w:r>
      <w:r w:rsidR="008F5262" w:rsidRPr="00E37220">
        <w:t xml:space="preserve"> of infection of COVID-19.  A small retrospective cohort study from Beijing</w:t>
      </w:r>
      <w:r w:rsidR="008F5262" w:rsidRPr="00E37220">
        <w:rPr>
          <w:rFonts w:hint="eastAsia"/>
        </w:rPr>
        <w:t xml:space="preserve"> </w:t>
      </w:r>
      <w:r w:rsidR="008F5262" w:rsidRPr="00E37220">
        <w:t>found that mask use by entire families before the first family</w:t>
      </w:r>
      <w:r w:rsidR="008F5262" w:rsidRPr="00E37220">
        <w:rPr>
          <w:rFonts w:hint="eastAsia"/>
        </w:rPr>
        <w:t xml:space="preserve"> </w:t>
      </w:r>
      <w:r w:rsidR="008F5262" w:rsidRPr="00E37220">
        <w:t>member developed COVID-19 symptoms was 79% effective</w:t>
      </w:r>
      <w:r w:rsidR="008F5262" w:rsidRPr="00E37220">
        <w:rPr>
          <w:rFonts w:hint="eastAsia"/>
        </w:rPr>
        <w:t xml:space="preserve"> </w:t>
      </w:r>
      <w:r w:rsidR="008F5262" w:rsidRPr="00E37220">
        <w:t>in reducing transmission.  A case-control study from Thailand found that wearing a medical or</w:t>
      </w:r>
      <w:r w:rsidR="008F5262" w:rsidRPr="00E37220">
        <w:rPr>
          <w:rFonts w:hint="eastAsia"/>
        </w:rPr>
        <w:t xml:space="preserve"> </w:t>
      </w:r>
      <w:r w:rsidR="008F5262" w:rsidRPr="00E37220">
        <w:t>non-medical mask all the time during contact with a COVID19 patient was associated with a 77% lower risk of infection.  Several small</w:t>
      </w:r>
      <w:r w:rsidR="008F5262" w:rsidRPr="00E37220">
        <w:rPr>
          <w:rFonts w:hint="eastAsia"/>
        </w:rPr>
        <w:t xml:space="preserve"> </w:t>
      </w:r>
      <w:r w:rsidR="008F5262" w:rsidRPr="00E37220">
        <w:t>observational studies with epidemiological data have</w:t>
      </w:r>
      <w:r w:rsidR="008F5262" w:rsidRPr="00E37220">
        <w:rPr>
          <w:rFonts w:hint="eastAsia"/>
        </w:rPr>
        <w:t xml:space="preserve"> </w:t>
      </w:r>
      <w:r w:rsidR="008F5262" w:rsidRPr="00E37220">
        <w:t>reported an association between mask use by an infected</w:t>
      </w:r>
      <w:r w:rsidR="008F5262" w:rsidRPr="00E37220">
        <w:rPr>
          <w:rFonts w:hint="eastAsia"/>
        </w:rPr>
        <w:t xml:space="preserve"> </w:t>
      </w:r>
      <w:r w:rsidR="008F5262" w:rsidRPr="00E37220">
        <w:t>person and prevention of onward transmission of SARSCoV-2 infection in public settings.  A number of studies, some peer reviewed but most</w:t>
      </w:r>
      <w:r w:rsidR="008F5262" w:rsidRPr="00E37220">
        <w:rPr>
          <w:rFonts w:hint="eastAsia"/>
        </w:rPr>
        <w:t xml:space="preserve"> </w:t>
      </w:r>
      <w:r w:rsidR="008F5262" w:rsidRPr="00E37220">
        <w:t>published as pre-prints, reported a decline in the</w:t>
      </w:r>
      <w:r w:rsidR="008F5262" w:rsidRPr="00E37220">
        <w:rPr>
          <w:rFonts w:hint="eastAsia"/>
        </w:rPr>
        <w:t xml:space="preserve"> </w:t>
      </w:r>
      <w:r w:rsidR="008F5262" w:rsidRPr="00E37220">
        <w:t>COVID-19 cases associated with face mask usage by the</w:t>
      </w:r>
      <w:r w:rsidR="008F5262" w:rsidRPr="00E37220">
        <w:rPr>
          <w:rFonts w:hint="eastAsia"/>
        </w:rPr>
        <w:t xml:space="preserve"> </w:t>
      </w:r>
      <w:r w:rsidR="008F5262" w:rsidRPr="00E37220">
        <w:t xml:space="preserve">public, using country- or region-level data. </w:t>
      </w:r>
    </w:p>
    <w:p w:rsidR="006574BC" w:rsidRPr="00E37220" w:rsidRDefault="006574BC" w:rsidP="008F5262">
      <w:pPr>
        <w:jc w:val="both"/>
      </w:pPr>
    </w:p>
    <w:p w:rsidR="008363D6" w:rsidRPr="00E37220" w:rsidRDefault="008363D6" w:rsidP="008F5262">
      <w:pPr>
        <w:jc w:val="both"/>
      </w:pPr>
      <w:r w:rsidRPr="00E37220">
        <w:t xml:space="preserve">At the same time, it should be noted that the global COVID-19 epidemic situation is still under serious threat from the Delta variant, with acute surges in the number of confirmed cases within a short period of time in many countries.  Despite large-scale vaccination programmes, many places are also experiencing resurgence of the virus, which poses enormous challenges to our local anti-epidemic efforts.  While the </w:t>
      </w:r>
      <w:r w:rsidR="00F17721" w:rsidRPr="00E37220">
        <w:t xml:space="preserve">local </w:t>
      </w:r>
      <w:r w:rsidRPr="00E37220">
        <w:t xml:space="preserve">vaccination rate has been increasing, it </w:t>
      </w:r>
      <w:r w:rsidR="00F17721" w:rsidRPr="00E37220">
        <w:t xml:space="preserve">has shown signs of slowing down in recent days and </w:t>
      </w:r>
      <w:r w:rsidRPr="00E37220">
        <w:t xml:space="preserve">is far from the level required to prevent imported cases from spreading in the local community. </w:t>
      </w:r>
    </w:p>
    <w:p w:rsidR="008363D6" w:rsidRDefault="008363D6" w:rsidP="008F5262">
      <w:pPr>
        <w:jc w:val="both"/>
        <w:rPr>
          <w:color w:val="000000" w:themeColor="text1"/>
        </w:rPr>
      </w:pPr>
    </w:p>
    <w:p w:rsidR="006574BC" w:rsidRDefault="006574BC" w:rsidP="008F5262">
      <w:pPr>
        <w:jc w:val="both"/>
        <w:rPr>
          <w:color w:val="000000" w:themeColor="text1"/>
        </w:rPr>
      </w:pPr>
      <w:r w:rsidRPr="006574BC">
        <w:rPr>
          <w:color w:val="000000" w:themeColor="text1"/>
        </w:rPr>
        <w:t>Having regard to the above WHO’s guid</w:t>
      </w:r>
      <w:r w:rsidR="008363D6">
        <w:rPr>
          <w:color w:val="000000" w:themeColor="text1"/>
        </w:rPr>
        <w:t>ance</w:t>
      </w:r>
      <w:r w:rsidRPr="006574BC">
        <w:rPr>
          <w:color w:val="000000" w:themeColor="text1"/>
        </w:rPr>
        <w:t xml:space="preserve"> as well as other factors including public health risk assessment, </w:t>
      </w:r>
      <w:r w:rsidR="008363D6">
        <w:rPr>
          <w:color w:val="000000" w:themeColor="text1"/>
        </w:rPr>
        <w:t xml:space="preserve">higher transmissibility of Delta and other variants, </w:t>
      </w:r>
      <w:r w:rsidRPr="006574BC">
        <w:rPr>
          <w:color w:val="000000" w:themeColor="text1"/>
        </w:rPr>
        <w:t>feasibility</w:t>
      </w:r>
      <w:r w:rsidR="008363D6">
        <w:rPr>
          <w:color w:val="000000" w:themeColor="text1"/>
        </w:rPr>
        <w:t xml:space="preserve"> of mandatory wearing of mask</w:t>
      </w:r>
      <w:r>
        <w:rPr>
          <w:color w:val="000000" w:themeColor="text1"/>
        </w:rPr>
        <w:t xml:space="preserve"> and</w:t>
      </w:r>
      <w:r w:rsidRPr="006574BC">
        <w:rPr>
          <w:color w:val="000000" w:themeColor="text1"/>
        </w:rPr>
        <w:t xml:space="preserve"> </w:t>
      </w:r>
      <w:r w:rsidR="00F17721">
        <w:rPr>
          <w:color w:val="000000" w:themeColor="text1"/>
        </w:rPr>
        <w:t xml:space="preserve">the </w:t>
      </w:r>
      <w:r w:rsidRPr="006574BC">
        <w:rPr>
          <w:color w:val="000000" w:themeColor="text1"/>
        </w:rPr>
        <w:t>local context</w:t>
      </w:r>
      <w:r w:rsidR="008363D6">
        <w:rPr>
          <w:color w:val="000000" w:themeColor="text1"/>
        </w:rPr>
        <w:t xml:space="preserve"> etc.</w:t>
      </w:r>
      <w:r w:rsidRPr="006574BC">
        <w:rPr>
          <w:color w:val="000000" w:themeColor="text1"/>
        </w:rPr>
        <w:t xml:space="preserve">, the Government considers </w:t>
      </w:r>
      <w:r w:rsidR="00C3417E">
        <w:rPr>
          <w:color w:val="000000" w:themeColor="text1"/>
        </w:rPr>
        <w:t>that the</w:t>
      </w:r>
      <w:r>
        <w:rPr>
          <w:color w:val="000000" w:themeColor="text1"/>
        </w:rPr>
        <w:t xml:space="preserve"> </w:t>
      </w:r>
      <w:r w:rsidRPr="006574BC">
        <w:rPr>
          <w:color w:val="000000" w:themeColor="text1"/>
        </w:rPr>
        <w:t xml:space="preserve">mandatory </w:t>
      </w:r>
      <w:r w:rsidR="00C3417E">
        <w:rPr>
          <w:color w:val="000000" w:themeColor="text1"/>
        </w:rPr>
        <w:t xml:space="preserve">mask-wearing </w:t>
      </w:r>
      <w:r>
        <w:rPr>
          <w:color w:val="000000" w:themeColor="text1"/>
        </w:rPr>
        <w:t xml:space="preserve">requirement </w:t>
      </w:r>
      <w:r w:rsidRPr="006574BC">
        <w:rPr>
          <w:color w:val="000000" w:themeColor="text1"/>
        </w:rPr>
        <w:t xml:space="preserve">should be </w:t>
      </w:r>
      <w:r>
        <w:rPr>
          <w:color w:val="000000" w:themeColor="text1"/>
        </w:rPr>
        <w:t>maintained</w:t>
      </w:r>
      <w:r w:rsidRPr="006574B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under the current public health emergency, with a view to preventing </w:t>
      </w:r>
      <w:r w:rsidR="00C3417E">
        <w:rPr>
          <w:color w:val="000000" w:themeColor="text1"/>
        </w:rPr>
        <w:t>the spread</w:t>
      </w:r>
      <w:r>
        <w:rPr>
          <w:color w:val="000000" w:themeColor="text1"/>
        </w:rPr>
        <w:t xml:space="preserve"> of the virus in the local community which could take a heavy toll </w:t>
      </w:r>
      <w:r w:rsidR="00F17721">
        <w:rPr>
          <w:color w:val="000000" w:themeColor="text1"/>
        </w:rPr>
        <w:t xml:space="preserve">on </w:t>
      </w:r>
      <w:r w:rsidRPr="006574BC">
        <w:rPr>
          <w:color w:val="000000" w:themeColor="text1"/>
        </w:rPr>
        <w:t>human lives</w:t>
      </w:r>
      <w:r w:rsidR="00F17721">
        <w:rPr>
          <w:color w:val="000000" w:themeColor="text1"/>
        </w:rPr>
        <w:t>, our public healthcare system</w:t>
      </w:r>
      <w:r>
        <w:rPr>
          <w:color w:val="000000" w:themeColor="text1"/>
        </w:rPr>
        <w:t xml:space="preserve"> and the economy. </w:t>
      </w:r>
    </w:p>
    <w:p w:rsidR="006574BC" w:rsidRDefault="006574BC" w:rsidP="008F5262">
      <w:pPr>
        <w:jc w:val="both"/>
        <w:rPr>
          <w:color w:val="0070C0"/>
        </w:rPr>
      </w:pPr>
    </w:p>
    <w:p w:rsidR="00E37220" w:rsidRDefault="00B37902" w:rsidP="00E37220">
      <w:pPr>
        <w:jc w:val="both"/>
        <w:rPr>
          <w:rFonts w:eastAsia="細明體" w:cs="Times New Roman"/>
          <w:kern w:val="0"/>
          <w:szCs w:val="24"/>
        </w:rPr>
      </w:pPr>
      <w:r w:rsidRPr="00B37902">
        <w:rPr>
          <w:rFonts w:eastAsia="細明體" w:cs="Times New Roman"/>
          <w:kern w:val="0"/>
          <w:szCs w:val="24"/>
        </w:rPr>
        <w:t xml:space="preserve">The Government will continue to review and adjust the social distancing measures </w:t>
      </w:r>
      <w:r w:rsidRPr="00B37902">
        <w:rPr>
          <w:rFonts w:eastAsia="細明體" w:cs="Times New Roman"/>
          <w:kern w:val="0"/>
          <w:szCs w:val="24"/>
        </w:rPr>
        <w:lastRenderedPageBreak/>
        <w:t xml:space="preserve">including the mask-wearing requirement from time to time, having regard to, inter alia, the development of the epidemic situation, risk assessment and experts' advice.  </w:t>
      </w:r>
    </w:p>
    <w:p w:rsidR="00E37220" w:rsidRDefault="00E37220" w:rsidP="00E37220">
      <w:pPr>
        <w:jc w:val="both"/>
        <w:rPr>
          <w:rFonts w:eastAsia="細明體" w:cs="Times New Roman"/>
          <w:kern w:val="0"/>
          <w:szCs w:val="24"/>
        </w:rPr>
      </w:pPr>
    </w:p>
    <w:p w:rsidR="00E37220" w:rsidRPr="000E2C89" w:rsidRDefault="00E37220" w:rsidP="00E37220">
      <w:pPr>
        <w:jc w:val="both"/>
        <w:rPr>
          <w:rFonts w:eastAsia="細明體" w:cs="Times New Roman"/>
          <w:kern w:val="0"/>
          <w:szCs w:val="24"/>
        </w:rPr>
      </w:pPr>
      <w:r w:rsidRPr="000E2C89">
        <w:rPr>
          <w:rFonts w:eastAsia="細明體" w:cs="Times New Roman"/>
          <w:kern w:val="0"/>
          <w:szCs w:val="24"/>
        </w:rPr>
        <w:t xml:space="preserve">If you are dissatisfied with this Bureau’s </w:t>
      </w:r>
      <w:r w:rsidR="000E2C89" w:rsidRPr="000E2C89">
        <w:rPr>
          <w:rFonts w:eastAsia="細明體" w:cs="Times New Roman"/>
          <w:kern w:val="0"/>
          <w:szCs w:val="24"/>
        </w:rPr>
        <w:t>response after review</w:t>
      </w:r>
      <w:r w:rsidRPr="000E2C89">
        <w:rPr>
          <w:rFonts w:eastAsia="細明體" w:cs="Times New Roman"/>
          <w:kern w:val="0"/>
          <w:szCs w:val="24"/>
        </w:rPr>
        <w:t>, you may also complain to the Ombudsman.  The Ombudsman can be contacted at –</w:t>
      </w:r>
    </w:p>
    <w:p w:rsidR="00E37220" w:rsidRPr="000E2C89" w:rsidRDefault="00E37220" w:rsidP="00E37220">
      <w:pPr>
        <w:jc w:val="both"/>
        <w:rPr>
          <w:rFonts w:eastAsia="細明體" w:cs="Times New Roman"/>
          <w:kern w:val="0"/>
          <w:szCs w:val="24"/>
        </w:rPr>
      </w:pPr>
    </w:p>
    <w:p w:rsidR="00E37220" w:rsidRPr="000E2C89" w:rsidRDefault="00E37220" w:rsidP="00E37220">
      <w:pPr>
        <w:jc w:val="both"/>
        <w:rPr>
          <w:rFonts w:eastAsia="細明體" w:cs="Times New Roman"/>
          <w:kern w:val="0"/>
          <w:szCs w:val="24"/>
        </w:rPr>
      </w:pPr>
      <w:r w:rsidRPr="000E2C89">
        <w:rPr>
          <w:rFonts w:eastAsia="細明體" w:cs="Times New Roman"/>
          <w:kern w:val="0"/>
          <w:szCs w:val="24"/>
        </w:rPr>
        <w:t>Address: 30/F, China Merchants Tower, Shun Tak Centre, 168-200 Connaught Road Central, Hong Kong</w:t>
      </w:r>
    </w:p>
    <w:p w:rsidR="00E37220" w:rsidRPr="000E2C89" w:rsidRDefault="00E37220" w:rsidP="00E37220">
      <w:pPr>
        <w:jc w:val="both"/>
        <w:rPr>
          <w:rFonts w:eastAsia="細明體" w:cs="Times New Roman"/>
          <w:kern w:val="0"/>
          <w:szCs w:val="24"/>
        </w:rPr>
      </w:pPr>
      <w:r w:rsidRPr="000E2C89">
        <w:rPr>
          <w:rFonts w:eastAsia="細明體" w:cs="Times New Roman"/>
          <w:kern w:val="0"/>
          <w:szCs w:val="24"/>
        </w:rPr>
        <w:t>Telephone : (852) 2629 0555</w:t>
      </w:r>
    </w:p>
    <w:p w:rsidR="00E37220" w:rsidRPr="000E2C89" w:rsidRDefault="00E37220" w:rsidP="00E37220">
      <w:pPr>
        <w:jc w:val="both"/>
        <w:rPr>
          <w:rFonts w:eastAsia="細明體" w:cs="Times New Roman"/>
          <w:kern w:val="0"/>
          <w:szCs w:val="24"/>
        </w:rPr>
      </w:pPr>
      <w:r w:rsidRPr="000E2C89">
        <w:rPr>
          <w:rFonts w:eastAsia="細明體" w:cs="Times New Roman"/>
          <w:kern w:val="0"/>
          <w:szCs w:val="24"/>
        </w:rPr>
        <w:t>Fax : (852) 2882 8149</w:t>
      </w:r>
    </w:p>
    <w:p w:rsidR="00E37220" w:rsidRDefault="00E37220" w:rsidP="00E37220">
      <w:pPr>
        <w:jc w:val="both"/>
        <w:rPr>
          <w:rFonts w:eastAsia="細明體" w:cs="Times New Roman"/>
          <w:kern w:val="0"/>
          <w:szCs w:val="24"/>
        </w:rPr>
      </w:pPr>
      <w:r w:rsidRPr="000E2C89">
        <w:rPr>
          <w:rFonts w:eastAsia="細明體" w:cs="Times New Roman"/>
          <w:kern w:val="0"/>
          <w:szCs w:val="24"/>
        </w:rPr>
        <w:t xml:space="preserve">Email: </w:t>
      </w:r>
      <w:hyperlink r:id="rId7" w:history="1">
        <w:r w:rsidRPr="000E2C89">
          <w:rPr>
            <w:rFonts w:eastAsia="細明體" w:cs="Times New Roman"/>
            <w:kern w:val="0"/>
            <w:szCs w:val="24"/>
          </w:rPr>
          <w:t>complaints@ombudsman.hk</w:t>
        </w:r>
      </w:hyperlink>
      <w:r w:rsidRPr="000E2C89">
        <w:rPr>
          <w:rFonts w:eastAsia="細明體" w:cs="Times New Roman"/>
          <w:kern w:val="0"/>
          <w:szCs w:val="24"/>
        </w:rPr>
        <w:t>.</w:t>
      </w:r>
      <w:r>
        <w:rPr>
          <w:rFonts w:eastAsia="細明體" w:cs="Times New Roman"/>
          <w:kern w:val="0"/>
          <w:szCs w:val="24"/>
        </w:rPr>
        <w:t xml:space="preserve"> </w:t>
      </w:r>
    </w:p>
    <w:p w:rsidR="00E37220" w:rsidRPr="00E37220" w:rsidRDefault="00E37220" w:rsidP="00E37220">
      <w:pPr>
        <w:jc w:val="both"/>
        <w:rPr>
          <w:rFonts w:eastAsia="細明體" w:cs="Times New Roman"/>
          <w:kern w:val="0"/>
          <w:szCs w:val="24"/>
        </w:rPr>
      </w:pPr>
    </w:p>
    <w:p w:rsidR="00E3610C" w:rsidRPr="00E37220" w:rsidRDefault="007344F5" w:rsidP="00E3610C">
      <w:pPr>
        <w:jc w:val="both"/>
        <w:rPr>
          <w:rFonts w:eastAsia="細明體" w:cs="Times New Roman"/>
          <w:kern w:val="0"/>
          <w:szCs w:val="24"/>
        </w:rPr>
      </w:pPr>
      <w:r w:rsidRPr="007344F5">
        <w:rPr>
          <w:rFonts w:eastAsia="細明體" w:cs="Times New Roman"/>
          <w:kern w:val="0"/>
          <w:szCs w:val="24"/>
        </w:rPr>
        <w:t>Food and Health Bureau</w:t>
      </w:r>
    </w:p>
    <w:sectPr w:rsidR="00E3610C" w:rsidRPr="00E372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72" w:rsidRDefault="00DC3A72" w:rsidP="00EC7616">
      <w:r>
        <w:separator/>
      </w:r>
    </w:p>
  </w:endnote>
  <w:endnote w:type="continuationSeparator" w:id="0">
    <w:p w:rsidR="00DC3A72" w:rsidRDefault="00DC3A72" w:rsidP="00EC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72" w:rsidRDefault="00DC3A72" w:rsidP="00EC7616">
      <w:r>
        <w:separator/>
      </w:r>
    </w:p>
  </w:footnote>
  <w:footnote w:type="continuationSeparator" w:id="0">
    <w:p w:rsidR="00DC3A72" w:rsidRDefault="00DC3A72" w:rsidP="00EC7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0C"/>
    <w:rsid w:val="000B37A5"/>
    <w:rsid w:val="000E2C89"/>
    <w:rsid w:val="004350F4"/>
    <w:rsid w:val="004A2158"/>
    <w:rsid w:val="00531060"/>
    <w:rsid w:val="00541C72"/>
    <w:rsid w:val="005C088D"/>
    <w:rsid w:val="006574BC"/>
    <w:rsid w:val="006D3C66"/>
    <w:rsid w:val="007344F5"/>
    <w:rsid w:val="007B62D9"/>
    <w:rsid w:val="008218A4"/>
    <w:rsid w:val="008363D6"/>
    <w:rsid w:val="008A233B"/>
    <w:rsid w:val="008D4A72"/>
    <w:rsid w:val="008F5262"/>
    <w:rsid w:val="009A49C9"/>
    <w:rsid w:val="00A71B1E"/>
    <w:rsid w:val="00B37902"/>
    <w:rsid w:val="00BA490F"/>
    <w:rsid w:val="00C3417E"/>
    <w:rsid w:val="00D62193"/>
    <w:rsid w:val="00DB1F02"/>
    <w:rsid w:val="00DC3A72"/>
    <w:rsid w:val="00E147A7"/>
    <w:rsid w:val="00E3610C"/>
    <w:rsid w:val="00E37220"/>
    <w:rsid w:val="00EC7616"/>
    <w:rsid w:val="00EF70C9"/>
    <w:rsid w:val="00F0357C"/>
    <w:rsid w:val="00F17721"/>
    <w:rsid w:val="00F50913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B470B-C7A3-4311-9A12-E38C15CF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76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7616"/>
    <w:rPr>
      <w:sz w:val="20"/>
      <w:szCs w:val="20"/>
    </w:rPr>
  </w:style>
  <w:style w:type="character" w:styleId="a7">
    <w:name w:val="Hyperlink"/>
    <w:basedOn w:val="a0"/>
    <w:uiPriority w:val="99"/>
    <w:unhideWhenUsed/>
    <w:rsid w:val="00F03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plaints@ombudsman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publications/i/item/advice-on-the-use-of-masks-in-the-community-during-home-care-and-in-healthcare-settings-in-the-context-of-the-novel-coronavirus-(2019-ncov)-outbreak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884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 and Health Bureau</dc:creator>
  <cp:keywords/>
  <dc:description/>
  <cp:lastModifiedBy>EO(H)7A</cp:lastModifiedBy>
  <cp:revision>3</cp:revision>
  <cp:lastPrinted>2021-08-23T08:45:00Z</cp:lastPrinted>
  <dcterms:created xsi:type="dcterms:W3CDTF">2021-08-30T02:46:00Z</dcterms:created>
  <dcterms:modified xsi:type="dcterms:W3CDTF">2021-08-31T09:00:00Z</dcterms:modified>
</cp:coreProperties>
</file>